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6f2afe106b574a0b"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14970</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Marije Jurić Zagorke</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2.777.464,03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3.071.216,86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2.709.665,79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3.187.042,14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115.825,28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54.832,32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42.056,43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54.832,32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42.056,43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76,7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157.881,71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Ukupni manjak prihoda u iznosu od 157.881,71€ umanjen je za višak prihoda prethodne godine u iznosu od 1.853,46 € te daje ukupni manjak prihoda od 156.028,25 €.</w:t>
      </w:r>
    </w:p>
    <w:p>
      <w:r>
        <w:br/>
      </w:r>
      <w:r>
        <w:t xml:space="preserve">Novčano stanje na transakcijskom računu škole iznosi 52.221,44 € gdje su akontirana sredstva od MZOM iznosa od 4.877,44 €, sredstva Gradskog Ureda za isplatu plaća za zaposlenika Produženog boravka, pomoćnika u nastavi i sredstva EU projekta Faza VII za pomoćnike u nastavi na projektu u ukupnom iznosu od 17.319,20 €, sredstva za redovnu djelatnost odnosno za materijalne troškove 3.925,44 €, sredstva za posebne namjene za sufinanciranje usluga Produženog boravka, prehranu učenika, sredstva školske Zadruge Dub i vlastita sredstva.</w:t>
      </w:r>
    </w:p>
    <w:p>
      <w:r>
        <w:br/>
      </w:r>
      <w:r>
        <w:t xml:space="preserve">Obveze za redovno poslovanje iznose 7.942,11 € te su sve nedospjele a za isplatu plaće, prijevoza djelatnika i naknade zbog nezapošljavanja osoba s invaliditetom za prosinac 2025. čija isplata će biti u siječnju 2026. u iznosu od 202.249,39 €. Ukupni iznos Obveza je 210.191,50 € što je vidljivo u obrascima Bilanca i Obveze.</w:t>
      </w:r>
    </w:p>
    <w:p>
      <w:r>
        <w:br/>
      </w:r>
      <w:r>
        <w:t xml:space="preserve">Škola je opremljena računalima, interaktivnim pločama, uredskim namještajem, policama za knjige u školskoj knjižnici, ugrađen je novi videonadzor, postavljene su klime, vanjski koševi za smeće i sigurnosna ulazna vrata za ulaz na školski bazen u iznosu od 42.056,43 €.</w:t>
      </w:r>
    </w:p>
    <w:p>
      <w:r>
        <w:br/>
      </w:r>
      <w:r>
        <w:t xml:space="preserve">Obrazac P-vrio ima povećanje imovine za dobivena računala, i interaktivnu ploču od Carneta i računalo od Gradskog Ureda.</w:t>
      </w:r>
    </w:p>
    <w:p>
      <w:r>
        <w:br/>
      </w:r>
      <w:r>
        <w:t xml:space="preserve">EU izvješće ima iskazana sredstva dobivena kao prijenos odnosno doznaka od Gradskog Ureda za EU projekt pomoćnici u nastavi Faza VII za isplatu plaća i ostalih rashoda za zaposlenike, pomoćnike u nastavi u izvještajnoj godini</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Prijenosi između proračunskih korisnika istog proračuna (šifre 6391 do 6394)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29.695,69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52.005,84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175,1</w:t>
            </w:r>
          </w:p>
        </w:tc>
      </w:tr>
    </w:tbl>
    <w:p>
      <w:pPr>
        <w:spacing w:before="0" w:after="0"/>
      </w:pPr>
    </w:p>
    <w:p>
      <w:r>
        <w:t xml:space="preserve">Značajna razlika dolazi zbog povećanog broja pomoćnika u nastavi preko EU projekta Faza VII za isplatu plaća i ostalih rashoda za zaposlenike</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upravnih i administrativnih pristojbi, pristojbi po posebnim propisima i naknada (šifre 651+652+653+654)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47.055,50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42.648,35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90,6</w:t>
            </w:r>
          </w:p>
        </w:tc>
      </w:tr>
    </w:tbl>
    <w:p>
      <w:pPr>
        <w:spacing w:before="0" w:after="0"/>
      </w:pPr>
    </w:p>
    <w:p>
      <w:r>
        <w:t xml:space="preserve">Razlika vidljiva zbog smanjenja uplata za sufinanciranje prehrane učenika u boravku te zbog upute o knjiženju uplata za časopise, izlete, testove koji se više ne knjiže na 6526 nego na 6614</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prihodi od donacija te povrati po protestiranim jamstvima (šifre 661+663)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24.371,04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31.105,92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127,6</w:t>
            </w:r>
          </w:p>
        </w:tc>
      </w:tr>
    </w:tbl>
    <w:p>
      <w:pPr>
        <w:spacing w:before="0" w:after="0"/>
      </w:pPr>
    </w:p>
    <w:p>
      <w:r>
        <w:t xml:space="preserve">Zbog izmjene knjiženja (sa 6526 na 6614) za časopise, izlete i testove nastaje razlika u odnosu na prethodno izvještajno razdoblje</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i od HZZO-a na temelju ugovornih obveza (šifre 671+673)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508.548,91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629.267,50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123,7</w:t>
            </w:r>
          </w:p>
        </w:tc>
      </w:tr>
    </w:tbl>
    <w:p>
      <w:pPr>
        <w:spacing w:before="0" w:after="0"/>
      </w:pPr>
    </w:p>
    <w:p>
      <w:r>
        <w:t xml:space="preserve">Povećanje sredstava primljenih od Gradskog ureda za isplate plaća zaposlenika koji se financiju sredstvima Grada te povećani iznosi za materijalne troškove za redovno poslovanje i pojačani standard </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2.709.665,79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3.187.042,14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117,6</w:t>
            </w:r>
          </w:p>
        </w:tc>
      </w:tr>
    </w:tbl>
    <w:p>
      <w:pPr>
        <w:spacing w:before="0" w:after="0"/>
      </w:pPr>
    </w:p>
    <w:p>
      <w:r>
        <w:t xml:space="preserve">Zbog povećanja cijena roba i usluga te zbog isplata povećanja plaća za zaposlenike dolazi do razlike u odnosu na prethodno izvještajno razdoblje</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prekovremeni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28.451,35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49.315,52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173,3</w:t>
            </w:r>
          </w:p>
        </w:tc>
      </w:tr>
    </w:tbl>
    <w:p>
      <w:pPr>
        <w:spacing w:before="0" w:after="0"/>
      </w:pPr>
    </w:p>
    <w:p>
      <w:r>
        <w:t xml:space="preserve">Razlika dolazi zbog povećanog broja zamjena zaposlenika i zbog uvećanja plaća time i većih rashoda</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Materijalni rashodi (šifre 321+322+323+324+325+329)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456.896,92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557.085,16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121,9</w:t>
            </w:r>
          </w:p>
        </w:tc>
      </w:tr>
    </w:tbl>
    <w:p>
      <w:pPr>
        <w:spacing w:before="0" w:after="0"/>
      </w:pPr>
    </w:p>
    <w:p>
      <w:r>
        <w:t xml:space="preserve">Materijalni rashodi su povećani zbog cijena roba i usluga, plaćanja za energente (prije Grad)  i povećanih naknada za zaposlenike u odnosu na prethodno izvještajno razdoblje</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Uredski materijal i ostali materijalni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17.848,24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22.542,66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126,3</w:t>
            </w:r>
          </w:p>
        </w:tc>
      </w:tr>
    </w:tbl>
    <w:p>
      <w:pPr>
        <w:spacing w:before="0" w:after="0"/>
      </w:pPr>
    </w:p>
    <w:p>
      <w:r>
        <w:t xml:space="preserve">Zbog povećanja cijena robe i povećanog utroška higijenskih potrepština dolazi do uvećanog indeksa u odnosu na prethodno izvještajno razdoblje</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86.526,48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128.905,21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149,0</w:t>
            </w:r>
          </w:p>
        </w:tc>
      </w:tr>
    </w:tbl>
    <w:p>
      <w:pPr>
        <w:spacing w:before="0" w:after="0"/>
      </w:pPr>
    </w:p>
    <w:p>
      <w:r>
        <w:t xml:space="preserve">Zbog cijena, potrošnje i načina plaćanja računa (prije je Grad podmirivao račune za lož ulje) gdje škola plaća račune temeljem doznačenih sredstava za energente</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usluge (šifre 3231 do 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84.020,78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118.872,44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141,5</w:t>
            </w:r>
          </w:p>
        </w:tc>
      </w:tr>
    </w:tbl>
    <w:p>
      <w:pPr>
        <w:spacing w:before="0" w:after="0"/>
      </w:pPr>
    </w:p>
    <w:p>
      <w:r>
        <w:t xml:space="preserve">Zbog većeg ulaganja na sigurnost ulaska u školu, izmjenom vrata na ulazu škole,  izmjene crpke na školskom bazenu, popravka prozora na školskom bazenu uvećani su troškovi u odnosu na prethodno izvještajno razdoblje</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2.929,53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21.843,14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745,6</w:t>
            </w:r>
          </w:p>
        </w:tc>
      </w:tr>
    </w:tbl>
    <w:p>
      <w:pPr>
        <w:spacing w:before="0" w:after="0"/>
      </w:pPr>
    </w:p>
    <w:p>
      <w:r>
        <w:t xml:space="preserve">Zbog uvođenja zaštitarskih usluga u škole i izrade tehničke dokumentacije vezano za sigurnost u školama dolazi do značajne razlike u odnosu na prethodno izvještajno razdoblje</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226,94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193.199,86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Zbog novog Pravilnika o proračunskom računovodstvu i uputa o knjiženju dolazi do razlike u odnosu na prethodno razdoblje</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156.028,25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Zbog novog načina knjiženja i djelomično primljenih, akontiranih, sredstava za plaće zaposlenika dolazi do razlike u odnosu na prethodno izvještajno razdoblje</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novčanih sredstava na kraju izvještajnog razdoblja (šifre 11P + '11-dugov.' - '11-potraž.')</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11K</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23.042,74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52.221,44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226,6</w:t>
            </w:r>
          </w:p>
        </w:tc>
      </w:tr>
    </w:tbl>
    <w:p>
      <w:pPr>
        <w:spacing w:before="0" w:after="0"/>
      </w:pPr>
    </w:p>
    <w:p>
      <w:r>
        <w:t xml:space="preserve">Novčano stanje na transakcijskom računu škole iznosi 52.221,44 € gdje su akontirana sredstva od MZOM iznosa od 4.877,44 €, sredstva Gradskog Ureda za isplatu plaća za zaposlenika Produženog boravka, pomoćnika u nastavi i sredstva EU projekta Faza VII za pomoćnike u nastavi na projektu u ukupnom iznosu od 17.319,20 €, sredstva za redovnu djelatnost odnosno za materijalne troškove 3.925,44 €, sredstva za posebne namjene za sufinanciranje usluga Produženog boravka, prehranu učenika, sredstva školske Zadruge Dub i vlastita sredstva</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u banci i blagajni (šifre 111+112 do 114)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23.042,74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52.221,44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226,6</w:t>
            </w:r>
          </w:p>
        </w:tc>
      </w:tr>
    </w:tbl>
    <w:p>
      <w:pPr>
        <w:spacing w:before="0" w:after="0"/>
      </w:pPr>
    </w:p>
    <w:p>
      <w:r>
        <w:t xml:space="preserve">Zbog novog Pravilnika i uputa o knjiženjima, doznačena su sredstva Gradskog ureda, kao akontacije, za troškove plaća zaposlenika u Produženom boravku, pomoćnika u nastavi i EU pomoćnika te su stigla sredstva MZOM-a za projekte stručne službe škole za preventivne projekte, darovite i psihodijagnostiku</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jamčevne pologe, od zaposlenih te za više plaćene poreze i ostalo (šifre 122 do 124 - 125 + 129)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1.941,81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Ovaj iznos se odnosi na potraživanje za bolovanje na teret HZZO-a</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(šifre 161 do 163 + 164 do 168-169)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226,94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193.199,86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Zbog donošenja novog Pravilnika o prorač.računovodstvu i kontnog plana te uputama o načinu knjiženja dolazi do razlike u iznosima u odnosu na prethodno izvještajno razdoblje.</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190.302,06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u kojem se očekuje prihod MZOM-a za isplatu plaća, prijevozaza zaposlenike  i naknade zbog nezapošljavanja invalida i školske prehrane za 12. mjesec 2025. godine</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upravne i administrativne pristojbe, pristojbe po posebnim propisima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2.837,80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4690,6</w:t>
            </w:r>
          </w:p>
        </w:tc>
      </w:tr>
    </w:tbl>
    <w:p>
      <w:pPr>
        <w:spacing w:before="0" w:after="0"/>
      </w:pPr>
    </w:p>
    <w:p>
      <w:r>
        <w:t xml:space="preserve">Iznosi su značajno uvećani zbog iskazivanja potraživanja za uplate roditelja za sufinanciranje produženog boravka i školske prehrane u odnosu na prethodnu godinu te zbog novog Pravilnika i uputa o knjiženju </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ostale financijske rashode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187,80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1839,4</w:t>
            </w:r>
          </w:p>
        </w:tc>
      </w:tr>
    </w:tbl>
    <w:p>
      <w:pPr>
        <w:spacing w:before="0" w:after="0"/>
      </w:pPr>
    </w:p>
    <w:p>
      <w:r>
        <w:t xml:space="preserve">Odstupanje se odnosi na otvorenu nedospjelu obvezu kojoj je dospijeće 16.1.2026. za bankarske usluge HPB-a i Fine za e-paket kojem je dospijeće do 30.1.2026. ali je veći iznos u odnosu na prethodno izvještajno razdoblje stoga nastaje visok indeks </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nefinancijske imovine (šifre 241 do 245)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9.621,13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Otvorenih stavki odnosno obveza za ovo razdoblje&lt; za nabavu nefinancijske imovine, nema dok je u prethodnom izvještajnom razdoblju bila </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1.853,46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-156.028,25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-8418,2</w:t>
            </w:r>
          </w:p>
        </w:tc>
      </w:tr>
    </w:tbl>
    <w:p>
      <w:pPr>
        <w:spacing w:before="0" w:after="0"/>
      </w:pPr>
    </w:p>
    <w:p>
      <w:r>
        <w:t xml:space="preserve">Zbog novog Pravilnika o proračunskom računovodstvu, kontnog plana i uputa o knjiženju dolazi do iskazivanja manjka prihoda, najvećim dijelom za plaće i prijevoza zaposlenika u odnosu na prethodno izvještajno razdoblje kada je iskazan višak koji se prenosi u narednu izvještajnu godinu stoga je indeks u značajnom minusu</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(šifre 961 do 963 + 964 do 968)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226,94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193.199,86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Zbog novog Pravilnika i uputa o knjiženja u izvještajnom razdoblju  nastala je značajna razlika u iznosu i indeksu što će u narednom izvještajnom razdoblju pokazati realnije podatke ukoliko ne bude izmjene Pravilnika i uputa</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od upravnih i administrativnih pristojbi, pristojbi po posebnim propisima i naknada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2.837,80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4690,6</w:t>
            </w:r>
          </w:p>
        </w:tc>
      </w:tr>
    </w:tbl>
    <w:p>
      <w:pPr>
        <w:spacing w:before="0" w:after="0"/>
      </w:pPr>
    </w:p>
    <w:p>
      <w:r>
        <w:t xml:space="preserve">Zbog donešenog Pravilnika i uputa o knjiženju dolazi do većih razlika u iznosima kod iskazivanja podataka za sredstva primljena za sufinanciranje uplata roditelja za produženi boravak i prehranu učenika u boravku</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br/>
      </w:r>
      <w:r>
        <w:t xml:space="preserve">Obrazac P-vrio ima povećanje imovine za dobivena računala, i interaktivnu ploču od Carneta u vrijednosti 4.600,00 € i računalo od Gradskog Ureda vrijednosti 900,00 €.</w:t>
      </w:r>
      <w:r>
        <w:br/>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Dospjelih obveza nema stoga nema upisanih iznosa jer su sve obveze podmirene u izvještajnom razdoblju. Saldo za međusobne obveze subjekata općeg proračuna je iskazan na kontu 129, stoga nije vidljiv na razredu 2, dok će na kontu 276 biti upisan iznos kada na plaći bude iskazivan prihod i zatvaranje konta 1636 što je vidljivo u Bilanci te će se zatvarati Obveza i konto 963. Iznosi su usklađivani po dobivenim iznosima po kojima je obračunato bolovanje na teret HZZO-a</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202.249,39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br/>
      </w:r>
      <w:r>
        <w:br/>
      </w:r>
      <w:r>
        <w:t xml:space="preserve">Obveze za redovno poslovanje iznose 7.942,11 € te su sve nedospjele a za isplatu plaće, prijevoza djelatnika i naknade zbog nezapošljavanja osoba s invaliditetom za prosinac 2025. čija isplata će biti u siječnju 2026. u iznosu od 202.249,39 €. Ukupni iznos Obveza je 210.191,50 € što je vidljivo u obrascima Bilanca i Obveze.</w:t>
      </w:r>
      <w:r>
        <w:br/>
      </w:r>
    </w:p>
    <w:p/>
    <w:p>
      <w:pPr>
        <w:jc w:val="center"/>
        <w:pStyle w:val="Normal"/>
        <w:spacing w:line="240" w:lineRule="auto"/>
        <w:keepNext/>
      </w:pPr>
      <w:r>
        <w:rPr>
          <w:sz w:val="28"/>
          <w:rFonts w:ascii="Times New Roman" w:hAnsi="Times New Roman"/>
        </w:rPr>
        <w:t xml:space="preserve">Bilješka 29.</w:t>
      </w:r>
    </w:p>
    <w:p>
      <w:pPr>
        <w:jc w:val="both"/>
        <w:pStyle w:val="Normal"/>
        <w:spacing w:line="240" w:lineRule="auto"/>
      </w:pPr>
      <w:r>
        <w:rPr>
          <w:b/>
          <w:sz w:val="24"/>
          <w:rFonts w:ascii="Times New Roman" w:hAnsi="Times New Roman"/>
        </w:rPr>
        <w:t xml:space="preserve">EU izvještaj</w:t>
      </w:r>
    </w:p>
    <w:p>
      <w:r>
        <w:br/>
      </w:r>
      <w:r>
        <w:t xml:space="preserve">EU izvješće ima iskazana sredstva dobivena kao prijenos odnosno doznaka od Gradskog Ureda za EU projekt pomoćnici u nastavi Faza VII za isplatu plaća i ostalih rashoda za zaposlenike, pomoćnike u nastavi u izvještajnoj godini</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8e958b4ac6544c46" /></Relationships>
</file>