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2a7fb00e84c4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14970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Marije Jurić Zagorke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1.505.284,23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1.542.087,98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1.679.495,23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1.629.669,76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174.211,00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87.581,78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10.621,59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18.387,35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10.621,59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18.387,35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173,1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184.832,59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105.969,13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57,3</w:t>
            </w:r>
          </w:p>
        </w:tc>
      </w:tr>
    </w:tbl>
    <w:p>
      <w:pPr>
        <w:spacing w:before="0" w:after="0"/>
      </w:pPr>
    </w:p>
    <w:p>
      <w:r>
        <w:t xml:space="preserve">Manjak se odnosi na Pravilnik o proračunu i proračunskom računovodstvu i računskom planu gdje su upute o načinu knjiženja plaća i naknada za zaposlenike za evidentiranje troškova u mjesecu u kojem su nastali a isplata u sljedećem mjesecu kada se evidentiraju prihodi te kad se doda preneseni manjak prethodnog obračunskog razdoblja nastaje ukupni manjak u iznosu od 261.997,38 €. Čine ga buduća doznaka sredstava za plaće, bolovanja i prijevoz djelatnika u iznosu od 202.107,47 €, doznaka prema odobrenju za energetsku obnovu u iznosu 64.393,72 € te ostale refundacije za tekuće poslovanje</w:t>
      </w:r>
    </w:p>
    <w:p>
      <w:r>
        <w:t xml:space="preserve">Stanje na transakcijskom računu iznosi 3.481,94 €</w:t>
      </w:r>
    </w:p>
    <w:p>
      <w:r>
        <w:t xml:space="preserve">U srpnju se očekuju doznake sredstava za od nenadležnog proračuna za plaće za lipanj 2026. i školsku prehranu za svibanj i lipanj 2026. te od nadležnog proračuna za plaće zaposlenika u produženom boravku, plaće pomoćnika u nastavi, prehrane za travanj-lipanj 2026., prijevoza učenika školskim busom za lipanj 2026., sredstva po odobrenju za energetsku obnovu te za pomoćnike u nastavi temeljem prijenosa sredstava EU između proračunskih korisnika FAZA VII </w:t>
      </w:r>
    </w:p>
    <w:p>
      <w:r>
        <w:t xml:space="preserve">Dospjela potraživanja iznose 1.237,97 €, dospjele obveze iznose 3.312,50 € za odvoz šute za koja imamo odobrenje Grada.</w:t>
      </w:r>
    </w:p>
    <w:p>
      <w:r>
        <w:t xml:space="preserve">Prihodi od pruženih usluga odnosno od zakupa dvorane i učionica iznose 5.691,19 € te od SSGZ iznose 2.100,00€. Očekuju se još sredstva od zakupa u dvorane i učionica u iznosu od 1.354,37€  te od SSGZ 3.851,90 €</w:t>
      </w:r>
    </w:p>
    <w:p>
      <w:r>
        <w:t xml:space="preserve"> Škola je opremljena računalima, printerima, interaktivnim pločama, miniwashem, dogradnja videonadzora,usisavačima, učioničkim namještajem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17.200,74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7.791,19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45,3</w:t>
            </w:r>
          </w:p>
        </w:tc>
      </w:tr>
    </w:tbl>
    <w:p>
      <w:pPr>
        <w:spacing w:before="0" w:after="0"/>
      </w:pPr>
    </w:p>
    <w:p>
      <w:r>
        <w:t xml:space="preserve">Prihodi od pruženih usluga su niži zbog promjene u plaćanju klubova SSGZ-a te sredstva nešto kasnije dolaze na račun škole te zbog nekorištenja dvorane zbog renoviranja i energetske obnove kada nije mogla biti korištena niti za nastavu niti za zakup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2.231,66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3.554,25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159,3</w:t>
            </w:r>
          </w:p>
        </w:tc>
      </w:tr>
    </w:tbl>
    <w:p>
      <w:pPr>
        <w:spacing w:before="0" w:after="0"/>
      </w:pPr>
    </w:p>
    <w:p>
      <w:r>
        <w:t xml:space="preserve">Povećani troškolvi stručnog usavršavanja dijelom zbog cijena a dijelom zbog više djelatnika koji su išli na edukacije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3.672,42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395,8</w:t>
            </w:r>
          </w:p>
        </w:tc>
      </w:tr>
    </w:tbl>
    <w:p>
      <w:pPr>
        <w:spacing w:before="0" w:after="0"/>
      </w:pPr>
    </w:p>
    <w:p>
      <w:r>
        <w:t xml:space="preserve">Povećanje troškova za usluge se odnose na provedbu projekata za koje smo dobili sredstva nenadležnog proračuna za preventivne programe i rad s darovitim učenicima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2.890,93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9.493,48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328,4</w:t>
            </w:r>
          </w:p>
        </w:tc>
      </w:tr>
    </w:tbl>
    <w:p>
      <w:pPr>
        <w:spacing w:before="0" w:after="0"/>
      </w:pPr>
    </w:p>
    <w:p>
      <w:r>
        <w:t xml:space="preserve">Razlika nastaje kod donošenja Odluke o povećanoj visini naknade članovima upravljačkog tijela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3.073,69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31,2</w:t>
            </w:r>
          </w:p>
        </w:tc>
      </w:tr>
    </w:tbl>
    <w:p>
      <w:pPr>
        <w:spacing w:before="0" w:after="0"/>
      </w:pPr>
    </w:p>
    <w:p>
      <w:r>
        <w:t xml:space="preserve">razlike prethodnog i sadašnjeg obračunskog razdoblja su nastale zbog isplata po sudskim presudama u prethodnom izvještajnom razdoblju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9.424,11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1.028,90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10,9</w:t>
            </w:r>
          </w:p>
        </w:tc>
      </w:tr>
    </w:tbl>
    <w:p>
      <w:pPr>
        <w:spacing w:before="0" w:after="0"/>
      </w:pPr>
    </w:p>
    <w:p>
      <w:r>
        <w:t xml:space="preserve">razlike prethodnog i sadašnjeg obračunskog razdoblja su nastale zbog isplata po sudskim presudama u prethodnom izvještajnom razdoblju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174.211,00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87.581,78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50,3</w:t>
            </w:r>
          </w:p>
        </w:tc>
      </w:tr>
    </w:tbl>
    <w:p>
      <w:pPr>
        <w:spacing w:before="0" w:after="0"/>
      </w:pPr>
    </w:p>
    <w:p>
      <w:r>
        <w:t xml:space="preserve">Manji je primitak prihoda od strane Gradskog ureda dijelom i zbog akontacija za plaće koje će biti isplaćene u srpnju 2026. za razliku od prethodnog obračunskog razdoblja te zbog doznake sredstava za energetsku obnovu za koju je evidentiran rashod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10.621,59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18.387,35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173,1</w:t>
            </w:r>
          </w:p>
        </w:tc>
      </w:tr>
    </w:tbl>
    <w:p>
      <w:pPr>
        <w:spacing w:before="0" w:after="0"/>
      </w:pPr>
    </w:p>
    <w:p>
      <w:r>
        <w:t xml:space="preserve">veći je iznos primitka prihoda za opremanje škole od strane Gradskog ureda u ovom izvještajnom razdoblju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182.979,13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261.997,38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143,2</w:t>
            </w:r>
          </w:p>
        </w:tc>
      </w:tr>
    </w:tbl>
    <w:p>
      <w:pPr>
        <w:spacing w:before="0" w:after="0"/>
      </w:pPr>
    </w:p>
    <w:p>
      <w:r>
        <w:t xml:space="preserve">Razlika u odnosu na prethodno obračunsko razdoblje nastaje zbog akontiranih sredstava za plaće zaposlenika od strane Grada te nije bilo energetske obnove dok je u ovom razdoblju bilo značajnih troškova za koja nisu doznačena sredstva za podmirenje te će u narednom razdoblju biti podmirena temeljem Odobrenja i refundacije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15.113,03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3.481,94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23,0</w:t>
            </w:r>
          </w:p>
        </w:tc>
      </w:tr>
    </w:tbl>
    <w:p>
      <w:pPr>
        <w:spacing w:before="0" w:after="0"/>
      </w:pPr>
    </w:p>
    <w:p>
      <w:r>
        <w:t xml:space="preserve">Stanje novčanih sredstava nastaje zbog nastojanja podmirenja obveza, naročito prehrane u školskoj kuhinji, plaćanja tekućih obveza za redovno poslovanje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članovima predstavničkih i izvršnih tijela i upravnih vijeća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2.890,93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9.493,48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328,4</w:t>
            </w:r>
          </w:p>
        </w:tc>
      </w:tr>
    </w:tbl>
    <w:p>
      <w:pPr>
        <w:spacing w:before="0" w:after="0"/>
      </w:pPr>
    </w:p>
    <w:p>
      <w:r>
        <w:t xml:space="preserve">Razlika nastaje kod donošenja Odluke o povećanoj visini naknade članovima upravljačkog tijela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Novčana naknada poslodavca zbog nezapošljavanja osoba s invaliditetom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2.858,00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29,4</w:t>
            </w:r>
          </w:p>
        </w:tc>
      </w:tr>
    </w:tbl>
    <w:p>
      <w:pPr>
        <w:spacing w:before="0" w:after="0"/>
      </w:pPr>
    </w:p>
    <w:p>
      <w:r>
        <w:t xml:space="preserve">Iznos je znatno niži jer kod usklađenja nam je javljena preplata iznosa od prethodnog izvještajnog razdoblja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268.785,08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čine dospjele i nedospjele obveze koje će biti podmirene u narednom izvještajnom razdoblju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Dospjela a nepodmirena obveza odnosi se na doznaku sredstava od strane Gradskog ureda za koje postoji odobrenje ali nije realiziran povrat u izvještajnom razdoblju a vezano je za energetsku obnovu škole koju vodi Gradski ured. Obveza će biti podmirena u narednom izvještajnom razdoblju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a) Prekoračenje 1 do 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D232A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Dospjela a nepodmirena obveza odnosi se na doznaku sredstava od strane Gradskog ureda za koje postoji odobrenje ali nije realizin povrat u izvještajnom razdoblju a vezano je za energetsku obnovu škole koju vodi Gradski ured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265.472,58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se sastoje od knjiženih rashoda za plaće, naknade za bolovanja na teret HZZO-a i naknade za prijevoz zaposlenicima za lipanj 2026. koje će biti isplaćene u srpnju 2026. u iznosu od 202.107,47 € a ostatak od 63.365,11 € odnosi se za nedospjele obveze za materijalne rashode za redovno poslovanje i dio za energetsku obnovu za koje se čeka doznaka sredstava Gradskog ureda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Manjak prihoda u odnosu na veće rashode nastaju zbog evidentiranih rashoda za plaću za lipanj 2026. a prihodi će biti u srpnju 2026. kada bude isplata. Iznosi prihoda odgovaraju brutici Grada jer su rađena usklađenja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0b9840d41a4192" /></Relationships>
</file>